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062BF71D"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xml:space="preserve">. Blue code: directions for </w:t>
      </w:r>
      <w:r w:rsidR="0024735A">
        <w:rPr>
          <w:sz w:val="18"/>
          <w:szCs w:val="18"/>
          <w:highlight w:val="cyan"/>
          <w:lang w:val="en-GB"/>
        </w:rPr>
        <w:t>the sending organisation</w:t>
      </w:r>
      <w:r w:rsidR="003F7055" w:rsidRPr="003F7055">
        <w:rPr>
          <w:sz w:val="18"/>
          <w:szCs w:val="18"/>
          <w:highlight w:val="cyan"/>
          <w:lang w:val="en-GB"/>
        </w:rPr>
        <w:t xml:space="preserve"> that should be deleted; yellow code</w:t>
      </w:r>
      <w:r w:rsidR="0024735A">
        <w:rPr>
          <w:sz w:val="18"/>
          <w:szCs w:val="18"/>
          <w:highlight w:val="cyan"/>
          <w:lang w:val="en-GB"/>
        </w:rPr>
        <w:t>: the sending organisation</w:t>
      </w:r>
      <w:r w:rsidR="003F7055" w:rsidRPr="003F7055">
        <w:rPr>
          <w:sz w:val="18"/>
          <w:szCs w:val="18"/>
          <w:highlight w:val="cyan"/>
          <w:lang w:val="en-GB"/>
        </w:rPr>
        <w:t xml:space="preserve">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0D6B20D6" w:rsidR="002E24F7" w:rsidRDefault="002E24F7" w:rsidP="00FA3EEE">
      <w:pPr>
        <w:pBdr>
          <w:bottom w:val="single" w:sz="6" w:space="1" w:color="auto"/>
        </w:pBdr>
        <w:jc w:val="both"/>
        <w:rPr>
          <w:sz w:val="24"/>
          <w:szCs w:val="24"/>
          <w:lang w:val="en-GB"/>
        </w:rPr>
      </w:pPr>
      <w:r w:rsidRPr="002E24F7">
        <w:rPr>
          <w:sz w:val="24"/>
          <w:szCs w:val="24"/>
          <w:lang w:val="en-GB"/>
        </w:rPr>
        <w:t>[</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9" w14:textId="61D76BA9" w:rsidR="00C9059C" w:rsidRDefault="0023790E" w:rsidP="00034F7C">
      <w:pPr>
        <w:rPr>
          <w:rFonts w:ascii="Verdana" w:hAnsi="Verdana" w:cs="Calibri"/>
          <w:lang w:val="en-GB"/>
        </w:rPr>
      </w:pP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proofErr w:type="gramStart"/>
      <w:r w:rsidR="00DF0197" w:rsidRPr="00F15541">
        <w:rPr>
          <w:highlight w:val="yellow"/>
          <w:lang w:val="en-GB"/>
        </w:rPr>
        <w:t>..</w:t>
      </w:r>
      <w:proofErr w:type="gramEnd"/>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sv-SE" w:eastAsia="sv-SE"/>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38DA2DE" w14:textId="214CE568" w:rsidR="00B942CE" w:rsidRPr="001B5B98" w:rsidRDefault="00EE7E83" w:rsidP="001B5B98">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7A215B" w:rsidRPr="00B4501D">
        <w:rPr>
          <w:sz w:val="24"/>
          <w:szCs w:val="24"/>
          <w:lang w:val="is-IS"/>
        </w:rPr>
        <w:t>Staff Mobility Agreement</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505122">
        <w:rPr>
          <w:highlight w:val="yellow"/>
          <w:lang w:val="en-GB"/>
        </w:rPr>
        <w:lastRenderedPageBreak/>
        <w:t xml:space="preserve">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471A8AE"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p>
    <w:p w14:paraId="65723544" w14:textId="6D40ADC0" w:rsidR="00C560D5" w:rsidRPr="00AB150C" w:rsidRDefault="001C7D24" w:rsidP="001B5B98">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F42EEF">
        <w:rPr>
          <w:lang w:val="en-GB"/>
        </w:rPr>
        <w:t>[</w:t>
      </w:r>
      <w:r w:rsidR="00F42EEF">
        <w:rPr>
          <w:highlight w:val="cyan"/>
          <w:lang w:val="en-GB"/>
        </w:rPr>
        <w:t>F</w:t>
      </w:r>
      <w:r w:rsidR="00F42EEF" w:rsidRPr="00AB150C">
        <w:rPr>
          <w:highlight w:val="cyan"/>
          <w:lang w:val="en-GB"/>
        </w:rPr>
        <w:t>or teaching</w:t>
      </w:r>
      <w:r w:rsidR="00F42EEF">
        <w:rPr>
          <w:highlight w:val="cyan"/>
          <w:lang w:val="en-GB"/>
        </w:rPr>
        <w:t xml:space="preserve"> mobility</w:t>
      </w:r>
      <w:r w:rsidR="001B56A7">
        <w:rPr>
          <w:highlight w:val="cyan"/>
          <w:lang w:val="en-GB"/>
        </w:rPr>
        <w:t xml:space="preserve"> </w:t>
      </w:r>
      <w:r w:rsidR="00F42EEF" w:rsidRPr="008C49CF">
        <w:rPr>
          <w:highlight w:val="yellow"/>
          <w:lang w:val="en-GB"/>
        </w:rPr>
        <w:t xml:space="preserve">[The participant </w:t>
      </w:r>
      <w:r w:rsidR="00F42EEF">
        <w:rPr>
          <w:highlight w:val="yellow"/>
          <w:lang w:val="en-GB"/>
        </w:rPr>
        <w:t>shall</w:t>
      </w:r>
      <w:r w:rsidR="00F42EEF" w:rsidRPr="008C49CF">
        <w:rPr>
          <w:highlight w:val="yellow"/>
          <w:lang w:val="en-GB"/>
        </w:rPr>
        <w:t xml:space="preserve"> teach a total of […] hours in [...] days</w:t>
      </w:r>
      <w:r w:rsidR="00F42EEF">
        <w:rPr>
          <w:lang w:val="en-GB"/>
        </w:rPr>
        <w:t>]</w:t>
      </w:r>
      <w:r w:rsidR="00F42EEF"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D5124D7" w:rsidR="00742EF8" w:rsidRPr="00527128" w:rsidRDefault="00742EF8" w:rsidP="00742EF8">
      <w:pPr>
        <w:jc w:val="both"/>
        <w:rPr>
          <w:lang w:val="en-GB"/>
        </w:rPr>
      </w:pPr>
      <w:r>
        <w:rPr>
          <w:lang w:val="en-GB"/>
        </w:rPr>
        <w:t>3.1.</w:t>
      </w:r>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493C0327"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001B5B98">
        <w:rPr>
          <w:lang w:val="en-GB"/>
        </w:rPr>
        <w:t>.</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1E51CCAE"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123295C2"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Agreement is governed by</w:t>
      </w:r>
      <w:r w:rsidR="001B5B98">
        <w:rPr>
          <w:lang w:val="en-GB"/>
        </w:rPr>
        <w:t xml:space="preserve"> Swedish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lastRenderedPageBreak/>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70" w14:textId="638DF1FE" w:rsidR="007A215B" w:rsidRPr="00480BFD" w:rsidRDefault="007A215B" w:rsidP="007A215B">
      <w:pPr>
        <w:tabs>
          <w:tab w:val="left" w:pos="1985"/>
        </w:tabs>
        <w:jc w:val="center"/>
        <w:rPr>
          <w:sz w:val="24"/>
          <w:szCs w:val="24"/>
          <w:lang w:val="en-GB"/>
        </w:rPr>
      </w:pPr>
      <w:r w:rsidRPr="001B5B98">
        <w:rPr>
          <w:sz w:val="22"/>
          <w:szCs w:val="24"/>
          <w:lang w:val="en-GB"/>
        </w:rPr>
        <w:t>Key Action 1 –SCHOOL EDUCATION</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5722A6F"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B5B98">
        <w:rPr>
          <w:sz w:val="18"/>
          <w:szCs w:val="18"/>
          <w:lang w:val="en-GB"/>
        </w:rPr>
        <w:t>Sweden,</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1B5B98">
        <w:rPr>
          <w:sz w:val="18"/>
          <w:szCs w:val="18"/>
          <w:lang w:val="en-GB"/>
        </w:rPr>
        <w:t>Sweden</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677E8AFB"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B5B98">
        <w:rPr>
          <w:sz w:val="18"/>
          <w:szCs w:val="18"/>
          <w:lang w:val="en-GB"/>
        </w:rPr>
        <w:t>Sweden</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B5B98">
        <w:rPr>
          <w:sz w:val="18"/>
          <w:szCs w:val="18"/>
          <w:lang w:val="en-GB"/>
        </w:rPr>
        <w:t>Sweden</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657235A4" w14:textId="77777777" w:rsidR="00623986" w:rsidRDefault="00623986">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57662631" w:rsidR="00623986" w:rsidRDefault="00623986">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B03BAE">
      <w:rPr>
        <w:rStyle w:val="Sidnummer"/>
        <w:noProof/>
        <w:szCs w:val="24"/>
      </w:rPr>
      <w:t>4</w:t>
    </w:r>
    <w:r>
      <w:rPr>
        <w:rStyle w:val="Sidnummer"/>
        <w:szCs w:val="24"/>
      </w:rPr>
      <w:fldChar w:fldCharType="end"/>
    </w:r>
  </w:p>
  <w:p w14:paraId="657235A6" w14:textId="77777777" w:rsidR="00623986" w:rsidRDefault="00623986">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Sidfo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3AE7467B" w:rsidR="00623986" w:rsidRDefault="00623986"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B03BAE">
      <w:rPr>
        <w:rStyle w:val="Sidnummer"/>
        <w:noProof/>
      </w:rPr>
      <w:t>5</w:t>
    </w:r>
    <w:r>
      <w:rPr>
        <w:rStyle w:val="Sidnummer"/>
      </w:rPr>
      <w:fldChar w:fldCharType="end"/>
    </w:r>
  </w:p>
  <w:p w14:paraId="657235AB" w14:textId="77777777" w:rsidR="00623986" w:rsidRDefault="00623986">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Sidhuvud"/>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2765C0CC" w:rsidR="00623986" w:rsidRPr="00936E41" w:rsidRDefault="00C544D1" w:rsidP="00B2155C">
    <w:pPr>
      <w:pStyle w:val="Sidhuvud"/>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5120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B5B98"/>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4735A"/>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BB1"/>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BAE"/>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Rubrik1">
    <w:name w:val="heading 1"/>
    <w:basedOn w:val="Normal"/>
    <w:next w:val="Text1"/>
    <w:qFormat/>
    <w:pPr>
      <w:keepNext/>
      <w:numPr>
        <w:numId w:val="1"/>
      </w:numPr>
      <w:spacing w:before="240" w:after="240"/>
      <w:jc w:val="both"/>
      <w:outlineLvl w:val="0"/>
    </w:pPr>
    <w:rPr>
      <w:b/>
      <w:smallCaps/>
      <w:sz w:val="24"/>
    </w:rPr>
  </w:style>
  <w:style w:type="paragraph" w:styleId="Rubrik2">
    <w:name w:val="heading 2"/>
    <w:basedOn w:val="Normal"/>
    <w:next w:val="Text2"/>
    <w:qFormat/>
    <w:pPr>
      <w:keepNext/>
      <w:numPr>
        <w:ilvl w:val="1"/>
        <w:numId w:val="1"/>
      </w:numPr>
      <w:spacing w:after="240"/>
      <w:jc w:val="both"/>
      <w:outlineLvl w:val="1"/>
    </w:pPr>
    <w:rPr>
      <w:b/>
      <w:sz w:val="24"/>
    </w:rPr>
  </w:style>
  <w:style w:type="paragraph" w:styleId="Rubrik3">
    <w:name w:val="heading 3"/>
    <w:basedOn w:val="Normal"/>
    <w:next w:val="Text3"/>
    <w:qFormat/>
    <w:pPr>
      <w:keepNext/>
      <w:numPr>
        <w:ilvl w:val="2"/>
        <w:numId w:val="1"/>
      </w:numPr>
      <w:spacing w:after="240"/>
      <w:jc w:val="both"/>
      <w:outlineLvl w:val="2"/>
    </w:pPr>
    <w:rPr>
      <w:i/>
      <w:sz w:val="24"/>
    </w:rPr>
  </w:style>
  <w:style w:type="paragraph" w:styleId="Rubrik4">
    <w:name w:val="heading 4"/>
    <w:basedOn w:val="Normal"/>
    <w:next w:val="Text4"/>
    <w:qFormat/>
    <w:pPr>
      <w:keepNext/>
      <w:numPr>
        <w:ilvl w:val="3"/>
        <w:numId w:val="1"/>
      </w:numPr>
      <w:spacing w:after="240"/>
      <w:jc w:val="both"/>
      <w:outlineLvl w:val="3"/>
    </w:pPr>
    <w:rPr>
      <w:sz w:val="24"/>
    </w:rPr>
  </w:style>
  <w:style w:type="paragraph" w:styleId="Rubrik5">
    <w:name w:val="heading 5"/>
    <w:basedOn w:val="Normal"/>
    <w:next w:val="Normal"/>
    <w:qFormat/>
    <w:pPr>
      <w:numPr>
        <w:ilvl w:val="4"/>
        <w:numId w:val="1"/>
      </w:numPr>
      <w:spacing w:before="240" w:after="60"/>
      <w:jc w:val="both"/>
      <w:outlineLvl w:val="4"/>
    </w:pPr>
    <w:rPr>
      <w:rFonts w:ascii="Arial" w:hAnsi="Arial"/>
      <w:sz w:val="22"/>
    </w:rPr>
  </w:style>
  <w:style w:type="paragraph" w:styleId="Rubrik6">
    <w:name w:val="heading 6"/>
    <w:basedOn w:val="Normal"/>
    <w:next w:val="Normal"/>
    <w:qFormat/>
    <w:pPr>
      <w:numPr>
        <w:ilvl w:val="5"/>
        <w:numId w:val="1"/>
      </w:numPr>
      <w:spacing w:before="240" w:after="60"/>
      <w:jc w:val="both"/>
      <w:outlineLvl w:val="5"/>
    </w:pPr>
    <w:rPr>
      <w:rFonts w:ascii="Arial" w:hAnsi="Arial"/>
      <w:i/>
      <w:sz w:val="22"/>
    </w:rPr>
  </w:style>
  <w:style w:type="paragraph" w:styleId="Rubrik7">
    <w:name w:val="heading 7"/>
    <w:basedOn w:val="Normal"/>
    <w:next w:val="Normal"/>
    <w:qFormat/>
    <w:pPr>
      <w:numPr>
        <w:ilvl w:val="6"/>
        <w:numId w:val="1"/>
      </w:numPr>
      <w:spacing w:before="240" w:after="60"/>
      <w:jc w:val="both"/>
      <w:outlineLvl w:val="6"/>
    </w:pPr>
    <w:rPr>
      <w:rFonts w:ascii="Arial" w:hAnsi="Arial"/>
    </w:rPr>
  </w:style>
  <w:style w:type="paragraph" w:styleId="Rubrik8">
    <w:name w:val="heading 8"/>
    <w:basedOn w:val="Normal"/>
    <w:next w:val="Normal"/>
    <w:qFormat/>
    <w:pPr>
      <w:numPr>
        <w:ilvl w:val="7"/>
        <w:numId w:val="1"/>
      </w:numPr>
      <w:spacing w:before="240" w:after="60"/>
      <w:jc w:val="both"/>
      <w:outlineLvl w:val="7"/>
    </w:pPr>
    <w:rPr>
      <w:rFonts w:ascii="Arial" w:hAnsi="Arial"/>
      <w:i/>
    </w:rPr>
  </w:style>
  <w:style w:type="paragraph" w:styleId="Rubri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pPr>
      <w:jc w:val="both"/>
    </w:pPr>
    <w:rPr>
      <w:sz w:val="24"/>
    </w:rPr>
  </w:style>
  <w:style w:type="paragraph" w:styleId="Fotnotstext">
    <w:name w:val="footnote text"/>
    <w:basedOn w:val="Normal"/>
    <w:semiHidden/>
    <w:pPr>
      <w:spacing w:after="240"/>
      <w:ind w:left="357" w:hanging="357"/>
      <w:jc w:val="both"/>
    </w:pPr>
  </w:style>
  <w:style w:type="character" w:styleId="Sidnummer">
    <w:name w:val="page number"/>
    <w:rPr>
      <w:rFonts w:cs="Times New Roman"/>
    </w:rPr>
  </w:style>
  <w:style w:type="paragraph" w:styleId="Sidhuvud">
    <w:name w:val="header"/>
    <w:basedOn w:val="Normal"/>
    <w:pPr>
      <w:tabs>
        <w:tab w:val="center" w:pos="4153"/>
        <w:tab w:val="right" w:pos="8306"/>
      </w:tabs>
      <w:spacing w:after="240"/>
      <w:jc w:val="both"/>
    </w:pPr>
    <w:rPr>
      <w:sz w:val="24"/>
    </w:rPr>
  </w:style>
  <w:style w:type="paragraph" w:styleId="Sidfot">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Betoning">
    <w:name w:val="Emphasis"/>
    <w:qFormat/>
    <w:rPr>
      <w:rFonts w:cs="Times New Roman"/>
      <w:i/>
    </w:rPr>
  </w:style>
  <w:style w:type="character" w:styleId="Hyperlnk">
    <w:name w:val="Hyperlink"/>
    <w:rPr>
      <w:rFonts w:cs="Times New Roman"/>
      <w:color w:val="0000FF"/>
      <w:u w:val="single"/>
    </w:rPr>
  </w:style>
  <w:style w:type="character" w:styleId="Stark">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versik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kommentar">
    <w:name w:val="endnote text"/>
    <w:basedOn w:val="Normal"/>
    <w:link w:val="SlutkommentarChar"/>
    <w:rsid w:val="002E24F7"/>
  </w:style>
  <w:style w:type="character" w:customStyle="1" w:styleId="SlutkommentarChar">
    <w:name w:val="Slutkommentar Char"/>
    <w:link w:val="Slutkommentar"/>
    <w:rsid w:val="002E24F7"/>
    <w:rPr>
      <w:snapToGrid w:val="0"/>
      <w:lang w:val="fr-FR"/>
    </w:rPr>
  </w:style>
  <w:style w:type="character" w:styleId="Slutkommentar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5457AF5-DA8C-481E-A245-62D03C0C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9819</Characters>
  <Application>Microsoft Office Word</Application>
  <DocSecurity>0</DocSecurity>
  <Lines>81</Lines>
  <Paragraphs>23</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Lisa Wagenius</cp:lastModifiedBy>
  <cp:revision>2</cp:revision>
  <cp:lastPrinted>2014-06-03T10:21:00Z</cp:lastPrinted>
  <dcterms:created xsi:type="dcterms:W3CDTF">2020-05-18T13:18:00Z</dcterms:created>
  <dcterms:modified xsi:type="dcterms:W3CDTF">2020-05-18T13:18:00Z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